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宋体" w:hAnsi="宋体"/>
          <w:b/>
        </w:rPr>
      </w:pPr>
      <w:bookmarkStart w:id="0" w:name="_Toc492566744"/>
      <w:r>
        <w:rPr>
          <w:rFonts w:hint="eastAsia" w:ascii="宋体" w:hAnsi="宋体"/>
          <w:b/>
        </w:rPr>
        <w:t>附件四、技术规格书</w:t>
      </w:r>
      <w:bookmarkEnd w:id="0"/>
    </w:p>
    <w:p>
      <w:pPr>
        <w:tabs>
          <w:tab w:val="left" w:pos="0"/>
          <w:tab w:val="left" w:pos="945"/>
          <w:tab w:val="left" w:pos="1050"/>
        </w:tabs>
        <w:spacing w:line="360" w:lineRule="auto"/>
        <w:ind w:firstLine="420" w:firstLineChars="200"/>
        <w:rPr>
          <w:rFonts w:ascii="宋体" w:hAnsi="宋体" w:cs="宋体" w:eastAsiaTheme="minorEastAsia"/>
          <w:szCs w:val="21"/>
        </w:rPr>
      </w:pPr>
    </w:p>
    <w:p>
      <w:pPr>
        <w:adjustRightInd w:val="0"/>
        <w:spacing w:before="240" w:after="60" w:line="420" w:lineRule="atLeast"/>
        <w:jc w:val="center"/>
        <w:textAlignment w:val="baseline"/>
        <w:outlineLvl w:val="1"/>
        <w:rPr>
          <w:rFonts w:ascii="Arial" w:hAnsi="Arial"/>
          <w:b/>
          <w:kern w:val="0"/>
          <w:sz w:val="32"/>
          <w:szCs w:val="20"/>
        </w:rPr>
      </w:pPr>
      <w:bookmarkStart w:id="1" w:name="_Toc492566745"/>
      <w:r>
        <w:rPr>
          <w:rFonts w:hint="eastAsia" w:ascii="Arial" w:hAnsi="Arial"/>
          <w:b/>
          <w:kern w:val="0"/>
          <w:sz w:val="32"/>
          <w:szCs w:val="20"/>
        </w:rPr>
        <w:t>一、</w:t>
      </w:r>
      <w:bookmarkEnd w:id="1"/>
      <w:r>
        <w:rPr>
          <w:rFonts w:hint="eastAsia" w:ascii="Arial" w:hAnsi="Arial"/>
          <w:b/>
          <w:kern w:val="0"/>
          <w:sz w:val="32"/>
          <w:szCs w:val="20"/>
        </w:rPr>
        <w:t>声屏障构件</w:t>
      </w:r>
    </w:p>
    <w:p>
      <w:pPr>
        <w:spacing w:line="360" w:lineRule="auto"/>
        <w:ind w:firstLine="420" w:firstLineChars="200"/>
        <w:rPr>
          <w:rFonts w:ascii="宋体" w:hAnsi="宋体" w:eastAsiaTheme="minorEastAsia" w:cstheme="minorBidi"/>
          <w:szCs w:val="28"/>
        </w:rPr>
      </w:pPr>
      <w:r>
        <w:rPr>
          <w:rFonts w:hint="eastAsia" w:ascii="宋体" w:hAnsi="宋体" w:eastAsiaTheme="minorEastAsia" w:cstheme="minorBidi"/>
          <w:szCs w:val="28"/>
        </w:rPr>
        <w:t>1．招标物资名称及技术要求</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 xml:space="preserve">1.1 </w:t>
      </w:r>
      <w:r>
        <w:rPr>
          <w:rFonts w:ascii="宋体" w:hAnsi="宋体" w:cs="宋体" w:eastAsiaTheme="minorEastAsia"/>
          <w:szCs w:val="21"/>
        </w:rPr>
        <w:t>招标物资名称：</w:t>
      </w:r>
      <w:r>
        <w:rPr>
          <w:rFonts w:hint="eastAsia" w:ascii="宋体" w:hAnsi="宋体" w:eastAsiaTheme="minorEastAsia" w:cstheme="minorBidi"/>
          <w:szCs w:val="21"/>
        </w:rPr>
        <w:t>声屏障构件</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1.2技术要求：</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1.2.1单管橡胶垫、橡胶条、解耦装置、上下单元板间等所有橡胶制品均采用三元乙丙有筋橡胶，采用的橡胶制品适用于温度在-40℃～+60℃地区，必须抗老化，使用期内保证位置稳定，功能完好。所有橡胶制品需满足表1及《声屏障用橡胶件》(GB/T30649-2014)的要求。</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1.2.2顶部扣板、钢支架、三角钢板、接地扁钢等钢构件：</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钢材质量应符合《碳素结构钢》GB/T700-2006）、《低合金高强度结构钢》（GB/T1591 ）和《建筑结构用钢板》（GB/T19879）的规定。</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1.2.3螺栓、螺母及垫圈：螺栓为8.8级高强螺栓，机械性能必须符合《紧固件机械性能螺栓、螺钉和螺柱》（GB/T3098.1-2010）的要求，螺纹的加工精度等级为6级；螺母及平垫圈材质为45#钢，螺母必须符合《钢结构用高强度大六角螺母》（GB/T1229-2006）的要求及《螺母、垫圈技术条件》（GB/T1231的规定）。</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1.2.4防松止退螺母应满足《铁道客车转向架用防松止退螺母暂行技术条件》（TJ/CL412-2014）的规定。</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1.2.5所有材料必须具有抗老化功能，使用期内应保持消音特性、保证位置稳定，功能完好。</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 xml:space="preserve">1.2.6所有外露及隐蔽的钢构件必须进行防腐处理，防腐处理前应进行除锈，除锈等级应达到Sa3级。涂装保护采用氟碳涂装配套体系，底层为特制环氧富锌防锈漆（2道，40μm/道），中间层为棕红云铁环氧中间漆（1道，60μm/道），面层为进口氟碳成品面漆（2道，30μm/道），涂层干膜总厚度200μm，防腐年限需达到25年；螺栓、螺母、垫圈等连接件防腐采用多元合金共渗+锌铬涂层+封闭层。   </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1.2.7安全门性能要求</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为了能够使服务、维修人员快速进出，并保证列车事故状态下车上人员能够迅速逃离现场，路基地段声屏障每500米设一个门。桥梁地段声屏障如遇疏散通道应及时通知设计单位。门的设置基本要求如下：</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1）门的设置不能降低声屏障的噪声防护性能。</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2）门洞口尺寸为不小于1.0m×2.0m。</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3）门必须朝外开启，可以自动关闭，并从外部锁住。在轨道一侧，门必须不需要任何工具或钥匙就能够打开。从外部，门必须只能使用铁路维修人员的钥匙才能打开，门上应有把手便于开门。</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4）安全门（门框、门扇）选用金属材料，在门的整个使用周期内，门必须能抵抗各种气候的影响，具有低维修率，便于操作和锁闭。</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5）铰链合页铆接牢固，采用国家建筑标准设计图集04J631合页（铰链）代号A701（ROTO）。</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6）安全门门框两侧固定单管橡胶垫后与H钢立柱承插连接。</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7）施工完毕后应做防锈处理，并与吸声材料色调协调。</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1.2.8综合接地设置</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声屏障施工要预留综合接地施工接口条件。桥梁金属插板式声屏障接地按照通环（2016）8323综合接地设计要求接地，路基金属插板式声屏障按照通环（2016）8325综合接地设计要求接地。</w:t>
      </w:r>
    </w:p>
    <w:p>
      <w:pPr>
        <w:snapToGrid w:val="0"/>
        <w:spacing w:line="360" w:lineRule="auto"/>
        <w:ind w:firstLine="420" w:firstLineChars="200"/>
        <w:rPr>
          <w:rFonts w:ascii="宋体" w:hAnsi="宋体" w:eastAsiaTheme="minorEastAsia" w:cstheme="minorBidi"/>
          <w:szCs w:val="21"/>
        </w:rPr>
      </w:pPr>
      <w:r>
        <w:rPr>
          <w:rFonts w:hint="eastAsia" w:ascii="宋体" w:hAnsi="宋体" w:eastAsiaTheme="minorEastAsia" w:cstheme="minorBidi"/>
          <w:szCs w:val="21"/>
        </w:rPr>
        <w:t>1.2.9重力式砂浆除满足表2、表3的要求外，还应满足《铁路桥梁球形支座》（TB/T3320-2013）的要求。</w:t>
      </w:r>
    </w:p>
    <w:tbl>
      <w:tblPr>
        <w:tblStyle w:val="4"/>
        <w:tblW w:w="7170" w:type="dxa"/>
        <w:jc w:val="center"/>
        <w:tblInd w:w="1149" w:type="dxa"/>
        <w:tblLayout w:type="fixed"/>
        <w:tblCellMar>
          <w:top w:w="15" w:type="dxa"/>
          <w:left w:w="15" w:type="dxa"/>
          <w:bottom w:w="15" w:type="dxa"/>
          <w:right w:w="15" w:type="dxa"/>
        </w:tblCellMar>
      </w:tblPr>
      <w:tblGrid>
        <w:gridCol w:w="1079"/>
        <w:gridCol w:w="1455"/>
        <w:gridCol w:w="3135"/>
        <w:gridCol w:w="1501"/>
      </w:tblGrid>
      <w:tr>
        <w:tblPrEx>
          <w:tblLayout w:type="fixed"/>
          <w:tblCellMar>
            <w:top w:w="15" w:type="dxa"/>
            <w:left w:w="15" w:type="dxa"/>
            <w:bottom w:w="15" w:type="dxa"/>
            <w:right w:w="15" w:type="dxa"/>
          </w:tblCellMar>
        </w:tblPrEx>
        <w:trPr>
          <w:trHeight w:val="301" w:hRule="atLeast"/>
          <w:jc w:val="center"/>
        </w:trPr>
        <w:tc>
          <w:tcPr>
            <w:tcW w:w="7170" w:type="dxa"/>
            <w:gridSpan w:val="4"/>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表1  三元乙丙橡胶性能指标</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编号</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kern w:val="0"/>
                <w:sz w:val="22"/>
                <w:szCs w:val="22"/>
              </w:rPr>
              <w:t>名称</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性能指标</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硬度</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55±5度</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拉伸强度</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≥14KPa</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拉断伸长率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脆性温度</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恒定压缩永久变形（20℃×24h）</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耐臭氧老化2mg/L,20%伸长，40℃×96h</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无龟裂</w:t>
            </w:r>
          </w:p>
        </w:tc>
      </w:tr>
      <w:tr>
        <w:tblPrEx>
          <w:tblLayout w:type="fixed"/>
          <w:tblCellMar>
            <w:top w:w="15" w:type="dxa"/>
            <w:left w:w="15" w:type="dxa"/>
            <w:bottom w:w="15" w:type="dxa"/>
            <w:right w:w="15" w:type="dxa"/>
          </w:tblCellMar>
        </w:tblPrEx>
        <w:trPr>
          <w:trHeight w:val="286"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热空气老化</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拉伸强度降低率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r>
      <w:tr>
        <w:tblPrEx>
          <w:tblLayout w:type="fixed"/>
          <w:tblCellMar>
            <w:top w:w="15" w:type="dxa"/>
            <w:left w:w="15" w:type="dxa"/>
            <w:bottom w:w="15" w:type="dxa"/>
            <w:right w:w="15" w:type="dxa"/>
          </w:tblCellMar>
        </w:tblPrEx>
        <w:trPr>
          <w:trHeight w:val="286"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拉断伸长率降低率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tblPrEx>
          <w:tblLayout w:type="fixed"/>
          <w:tblCellMar>
            <w:top w:w="15" w:type="dxa"/>
            <w:left w:w="15" w:type="dxa"/>
            <w:bottom w:w="15" w:type="dxa"/>
            <w:right w:w="15" w:type="dxa"/>
          </w:tblCellMar>
        </w:tblPrEx>
        <w:trPr>
          <w:trHeight w:val="286"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硬度变化（IRHD）</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0-10度</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耐水性增重率（20℃×13h）</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耐油污性膨胀率（一号机油，室温×70h）</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撕裂强度</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≥30KN/m</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计权隔声量</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≥25dB</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使用年限</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≥25年</w:t>
            </w:r>
          </w:p>
        </w:tc>
      </w:tr>
    </w:tbl>
    <w:p>
      <w:pPr>
        <w:snapToGrid w:val="0"/>
        <w:spacing w:line="360" w:lineRule="auto"/>
        <w:ind w:firstLine="420" w:firstLineChars="200"/>
        <w:rPr>
          <w:rFonts w:ascii="宋体" w:hAnsi="宋体" w:cs="宋体" w:eastAsiaTheme="minorEastAsia"/>
          <w:szCs w:val="21"/>
        </w:rPr>
      </w:pPr>
    </w:p>
    <w:p>
      <w:pPr>
        <w:snapToGrid w:val="0"/>
        <w:spacing w:line="360" w:lineRule="auto"/>
        <w:ind w:firstLine="420" w:firstLineChars="200"/>
        <w:rPr>
          <w:rFonts w:ascii="宋体" w:hAnsi="宋体" w:cs="宋体" w:eastAsiaTheme="minorEastAsia"/>
          <w:szCs w:val="21"/>
        </w:rPr>
      </w:pPr>
    </w:p>
    <w:tbl>
      <w:tblPr>
        <w:tblStyle w:val="4"/>
        <w:tblW w:w="8385" w:type="dxa"/>
        <w:jc w:val="center"/>
        <w:tblInd w:w="542" w:type="dxa"/>
        <w:tblLayout w:type="fixed"/>
        <w:tblCellMar>
          <w:top w:w="15" w:type="dxa"/>
          <w:left w:w="15" w:type="dxa"/>
          <w:bottom w:w="15" w:type="dxa"/>
          <w:right w:w="15" w:type="dxa"/>
        </w:tblCellMar>
      </w:tblPr>
      <w:tblGrid>
        <w:gridCol w:w="1079"/>
        <w:gridCol w:w="1876"/>
        <w:gridCol w:w="2416"/>
        <w:gridCol w:w="3014"/>
      </w:tblGrid>
      <w:tr>
        <w:tblPrEx>
          <w:tblLayout w:type="fixed"/>
          <w:tblCellMar>
            <w:top w:w="15" w:type="dxa"/>
            <w:left w:w="15" w:type="dxa"/>
            <w:bottom w:w="15" w:type="dxa"/>
            <w:right w:w="15" w:type="dxa"/>
          </w:tblCellMar>
        </w:tblPrEx>
        <w:trPr>
          <w:trHeight w:val="301" w:hRule="atLeast"/>
          <w:jc w:val="center"/>
        </w:trPr>
        <w:tc>
          <w:tcPr>
            <w:tcW w:w="8385" w:type="dxa"/>
            <w:gridSpan w:val="4"/>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表2  夏期重力式砂浆技术要求</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编号</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技术要求</w:t>
            </w:r>
          </w:p>
        </w:tc>
      </w:tr>
      <w:tr>
        <w:tblPrEx>
          <w:tblLayout w:type="fixed"/>
          <w:tblCellMar>
            <w:top w:w="15" w:type="dxa"/>
            <w:left w:w="15" w:type="dxa"/>
            <w:bottom w:w="15" w:type="dxa"/>
            <w:right w:w="15" w:type="dxa"/>
          </w:tblCellMar>
        </w:tblPrEx>
        <w:trPr>
          <w:trHeight w:val="286"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初级流动度（mm）</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≥360</w:t>
            </w:r>
          </w:p>
        </w:tc>
      </w:tr>
      <w:tr>
        <w:tblPrEx>
          <w:tblLayout w:type="fixed"/>
          <w:tblCellMar>
            <w:top w:w="15" w:type="dxa"/>
            <w:left w:w="15" w:type="dxa"/>
            <w:bottom w:w="15" w:type="dxa"/>
            <w:right w:w="15" w:type="dxa"/>
          </w:tblCellMar>
        </w:tblPrEx>
        <w:trPr>
          <w:trHeight w:val="286"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30mm流动度保留值（mm）</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泌水率（%）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氯离子含量（%）</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≤0.1</w:t>
            </w:r>
          </w:p>
        </w:tc>
      </w:tr>
      <w:tr>
        <w:tblPrEx>
          <w:tblLayout w:type="fixed"/>
          <w:tblCellMar>
            <w:top w:w="15" w:type="dxa"/>
            <w:left w:w="15" w:type="dxa"/>
            <w:bottom w:w="15" w:type="dxa"/>
            <w:right w:w="15" w:type="dxa"/>
          </w:tblCellMar>
        </w:tblPrEx>
        <w:trPr>
          <w:trHeight w:val="286"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抗压强度（MPa）</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2h</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tblPrEx>
          <w:tblLayout w:type="fixed"/>
          <w:tblCellMar>
            <w:top w:w="15" w:type="dxa"/>
            <w:left w:w="15" w:type="dxa"/>
            <w:bottom w:w="15" w:type="dxa"/>
            <w:right w:w="15" w:type="dxa"/>
          </w:tblCellMar>
        </w:tblPrEx>
        <w:trPr>
          <w:trHeight w:val="286"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1d</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r>
      <w:tr>
        <w:tblPrEx>
          <w:tblLayout w:type="fixed"/>
          <w:tblCellMar>
            <w:top w:w="15" w:type="dxa"/>
            <w:left w:w="15" w:type="dxa"/>
            <w:bottom w:w="15" w:type="dxa"/>
            <w:right w:w="15" w:type="dxa"/>
          </w:tblCellMar>
        </w:tblPrEx>
        <w:trPr>
          <w:trHeight w:val="286"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28d</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1d竖向膨胀率（%）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0.02-0.1</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25d收缩率（%）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不收缩</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抗冻性（g/㎡）</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外观无异常，剥落量≤1000</w:t>
            </w:r>
          </w:p>
        </w:tc>
      </w:tr>
    </w:tbl>
    <w:p>
      <w:pPr>
        <w:snapToGrid w:val="0"/>
        <w:spacing w:line="360" w:lineRule="auto"/>
        <w:ind w:firstLine="420" w:firstLineChars="200"/>
        <w:rPr>
          <w:rFonts w:ascii="宋体" w:hAnsi="宋体" w:cs="宋体" w:eastAsiaTheme="minorEastAsia"/>
          <w:szCs w:val="21"/>
        </w:rPr>
      </w:pPr>
    </w:p>
    <w:p>
      <w:pPr>
        <w:snapToGrid w:val="0"/>
        <w:spacing w:line="360" w:lineRule="auto"/>
        <w:ind w:firstLine="420" w:firstLineChars="200"/>
        <w:rPr>
          <w:rFonts w:ascii="宋体" w:hAnsi="宋体" w:cs="宋体" w:eastAsiaTheme="minorEastAsia"/>
          <w:szCs w:val="21"/>
        </w:rPr>
      </w:pPr>
    </w:p>
    <w:p>
      <w:pPr>
        <w:snapToGrid w:val="0"/>
        <w:spacing w:line="360" w:lineRule="auto"/>
        <w:ind w:firstLine="420" w:firstLineChars="200"/>
        <w:rPr>
          <w:rFonts w:ascii="宋体" w:hAnsi="宋体" w:cs="宋体" w:eastAsiaTheme="minorEastAsia"/>
          <w:szCs w:val="21"/>
        </w:rPr>
      </w:pPr>
    </w:p>
    <w:p>
      <w:pPr>
        <w:snapToGrid w:val="0"/>
        <w:spacing w:line="360" w:lineRule="auto"/>
        <w:ind w:firstLine="420" w:firstLineChars="200"/>
        <w:rPr>
          <w:rFonts w:ascii="宋体" w:hAnsi="宋体" w:cs="宋体" w:eastAsiaTheme="minorEastAsia"/>
          <w:szCs w:val="21"/>
        </w:rPr>
      </w:pPr>
    </w:p>
    <w:tbl>
      <w:tblPr>
        <w:tblStyle w:val="4"/>
        <w:tblW w:w="8385" w:type="dxa"/>
        <w:jc w:val="center"/>
        <w:tblInd w:w="542" w:type="dxa"/>
        <w:tblLayout w:type="fixed"/>
        <w:tblCellMar>
          <w:top w:w="15" w:type="dxa"/>
          <w:left w:w="15" w:type="dxa"/>
          <w:bottom w:w="15" w:type="dxa"/>
          <w:right w:w="15" w:type="dxa"/>
        </w:tblCellMar>
      </w:tblPr>
      <w:tblGrid>
        <w:gridCol w:w="1079"/>
        <w:gridCol w:w="1876"/>
        <w:gridCol w:w="2416"/>
        <w:gridCol w:w="3014"/>
      </w:tblGrid>
      <w:tr>
        <w:tblPrEx>
          <w:tblLayout w:type="fixed"/>
          <w:tblCellMar>
            <w:top w:w="15" w:type="dxa"/>
            <w:left w:w="15" w:type="dxa"/>
            <w:bottom w:w="15" w:type="dxa"/>
            <w:right w:w="15" w:type="dxa"/>
          </w:tblCellMar>
        </w:tblPrEx>
        <w:trPr>
          <w:trHeight w:val="301" w:hRule="atLeast"/>
          <w:jc w:val="center"/>
        </w:trPr>
        <w:tc>
          <w:tcPr>
            <w:tcW w:w="8385" w:type="dxa"/>
            <w:gridSpan w:val="4"/>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表3  冬期重力式砂浆技术要求</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编号</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技术要求</w:t>
            </w:r>
          </w:p>
        </w:tc>
      </w:tr>
      <w:tr>
        <w:tblPrEx>
          <w:tblLayout w:type="fixed"/>
          <w:tblCellMar>
            <w:top w:w="15" w:type="dxa"/>
            <w:left w:w="15" w:type="dxa"/>
            <w:bottom w:w="15" w:type="dxa"/>
            <w:right w:w="15" w:type="dxa"/>
          </w:tblCellMar>
        </w:tblPrEx>
        <w:trPr>
          <w:trHeight w:val="286"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初级流动度（mm）</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≥340</w:t>
            </w:r>
          </w:p>
        </w:tc>
      </w:tr>
      <w:tr>
        <w:tblPrEx>
          <w:tblLayout w:type="fixed"/>
          <w:tblCellMar>
            <w:top w:w="15" w:type="dxa"/>
            <w:left w:w="15" w:type="dxa"/>
            <w:bottom w:w="15" w:type="dxa"/>
            <w:right w:w="15" w:type="dxa"/>
          </w:tblCellMar>
        </w:tblPrEx>
        <w:trPr>
          <w:trHeight w:val="286"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30mm流动度保留值（mm）</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泌水率（%）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氯离子含量（%）</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≤0.1</w:t>
            </w:r>
          </w:p>
        </w:tc>
      </w:tr>
      <w:tr>
        <w:tblPrEx>
          <w:tblLayout w:type="fixed"/>
          <w:tblCellMar>
            <w:top w:w="15" w:type="dxa"/>
            <w:left w:w="15" w:type="dxa"/>
            <w:bottom w:w="15" w:type="dxa"/>
            <w:right w:w="15" w:type="dxa"/>
          </w:tblCellMar>
        </w:tblPrEx>
        <w:trPr>
          <w:trHeight w:val="286"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抗压强度（MPa）</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2h</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tblPrEx>
          <w:tblLayout w:type="fixed"/>
          <w:tblCellMar>
            <w:top w:w="15" w:type="dxa"/>
            <w:left w:w="15" w:type="dxa"/>
            <w:bottom w:w="15" w:type="dxa"/>
            <w:right w:w="15" w:type="dxa"/>
          </w:tblCellMar>
        </w:tblPrEx>
        <w:trPr>
          <w:trHeight w:val="286"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1d</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r>
      <w:tr>
        <w:tblPrEx>
          <w:tblLayout w:type="fixed"/>
          <w:tblCellMar>
            <w:top w:w="15" w:type="dxa"/>
            <w:left w:w="15" w:type="dxa"/>
            <w:bottom w:w="15" w:type="dxa"/>
            <w:right w:w="15" w:type="dxa"/>
          </w:tblCellMar>
        </w:tblPrEx>
        <w:trPr>
          <w:trHeight w:val="286"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28d</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1d竖向膨胀率（%）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0.02-0.1</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25d收缩率（%）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不收缩</w:t>
            </w:r>
          </w:p>
        </w:tc>
      </w:tr>
      <w:tr>
        <w:tblPrEx>
          <w:tblLayout w:type="fixed"/>
          <w:tblCellMar>
            <w:top w:w="15" w:type="dxa"/>
            <w:left w:w="15" w:type="dxa"/>
            <w:bottom w:w="15" w:type="dxa"/>
            <w:right w:w="15" w:type="dxa"/>
          </w:tblCellMar>
        </w:tblPrEx>
        <w:trPr>
          <w:trHeight w:val="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抗冻性（g/㎡）</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外观无异常，剥落量≤1000</w:t>
            </w:r>
          </w:p>
        </w:tc>
      </w:tr>
    </w:tbl>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交货检查规则：执行GB/T 2941的规定</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检查验收对声屏障构件的标识、包装、产品规格、尺寸大小及外观质量进行验收，按在交货地点的计数交货</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2．投标人应提供的技术条件</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1.生产和检验招标物资所执行的技术标准。</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2.投标物资的质量符合招标文件规定的技术标准及其引用标准的检测对比证明（由国家认可的省部级以上检验、检测机构出具的投标物资质量检验报告）。</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3．质量保证期</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自物资交货验收合格之日起6个月。</w:t>
      </w:r>
    </w:p>
    <w:p>
      <w:pPr>
        <w:snapToGrid w:val="0"/>
        <w:spacing w:line="360" w:lineRule="auto"/>
        <w:ind w:firstLine="420" w:firstLineChars="200"/>
        <w:rPr>
          <w:rFonts w:ascii="宋体" w:hAnsi="宋体" w:cs="宋体" w:eastAsiaTheme="minorEastAsia"/>
          <w:szCs w:val="21"/>
        </w:rPr>
      </w:pPr>
      <w:r>
        <w:rPr>
          <w:rFonts w:hint="eastAsia" w:ascii="宋体" w:hAnsi="宋体" w:cs="宋体" w:eastAsiaTheme="minorEastAsia"/>
          <w:szCs w:val="21"/>
        </w:rPr>
        <w:t>如上述招标物资所述技术指标、规格与所需项目设计图纸要求有不符之处，以设计图纸要求为准，与招标公告发布之日前最新版国家标准（或行业标准）不符之处以最新版国家标准（或行业标准）为准；招标物资应满足相关技术指标而设计未明确的按最新版国家标准（或行业标准）执行。</w:t>
      </w:r>
    </w:p>
    <w:p>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EE"/>
    <w:rsid w:val="000137D8"/>
    <w:rsid w:val="001063E0"/>
    <w:rsid w:val="00277E72"/>
    <w:rsid w:val="002C0642"/>
    <w:rsid w:val="00360614"/>
    <w:rsid w:val="003B7715"/>
    <w:rsid w:val="00454E7D"/>
    <w:rsid w:val="00513FDF"/>
    <w:rsid w:val="005645F1"/>
    <w:rsid w:val="005B3559"/>
    <w:rsid w:val="00797CEE"/>
    <w:rsid w:val="007E1453"/>
    <w:rsid w:val="007E3CEB"/>
    <w:rsid w:val="008030D2"/>
    <w:rsid w:val="009A6BBD"/>
    <w:rsid w:val="00A0266E"/>
    <w:rsid w:val="00A23971"/>
    <w:rsid w:val="00A411F8"/>
    <w:rsid w:val="00A9289E"/>
    <w:rsid w:val="00B461E5"/>
    <w:rsid w:val="00BD08C2"/>
    <w:rsid w:val="00C274A5"/>
    <w:rsid w:val="00D0261E"/>
    <w:rsid w:val="00F33223"/>
    <w:rsid w:val="00F3528B"/>
    <w:rsid w:val="06B5223A"/>
    <w:rsid w:val="0B8646D2"/>
    <w:rsid w:val="0C0423C8"/>
    <w:rsid w:val="17922C75"/>
    <w:rsid w:val="1A050C3C"/>
    <w:rsid w:val="1EBE148D"/>
    <w:rsid w:val="22F33B43"/>
    <w:rsid w:val="23275560"/>
    <w:rsid w:val="24A27814"/>
    <w:rsid w:val="24CA777A"/>
    <w:rsid w:val="25E30DD7"/>
    <w:rsid w:val="28C30585"/>
    <w:rsid w:val="2C4D360B"/>
    <w:rsid w:val="2F511660"/>
    <w:rsid w:val="3194358E"/>
    <w:rsid w:val="343E30AE"/>
    <w:rsid w:val="3AF72615"/>
    <w:rsid w:val="3B561900"/>
    <w:rsid w:val="3CCD12B5"/>
    <w:rsid w:val="3ED1572B"/>
    <w:rsid w:val="40C06BDD"/>
    <w:rsid w:val="42304E4D"/>
    <w:rsid w:val="445A3AF8"/>
    <w:rsid w:val="46FA749F"/>
    <w:rsid w:val="49CF196E"/>
    <w:rsid w:val="4BF52C15"/>
    <w:rsid w:val="4F54184B"/>
    <w:rsid w:val="53C137FE"/>
    <w:rsid w:val="55F84394"/>
    <w:rsid w:val="56846D6C"/>
    <w:rsid w:val="5B9D7861"/>
    <w:rsid w:val="5BE45807"/>
    <w:rsid w:val="5CF142F8"/>
    <w:rsid w:val="60290F2B"/>
    <w:rsid w:val="60E30031"/>
    <w:rsid w:val="63A37239"/>
    <w:rsid w:val="68333346"/>
    <w:rsid w:val="6868633A"/>
    <w:rsid w:val="75F51C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7"/>
    <w:qFormat/>
    <w:uiPriority w:val="99"/>
    <w:pPr>
      <w:tabs>
        <w:tab w:val="center" w:pos="4153"/>
        <w:tab w:val="right" w:pos="8306"/>
      </w:tabs>
      <w:snapToGrid w:val="0"/>
      <w:jc w:val="left"/>
    </w:pPr>
    <w:rPr>
      <w:rFonts w:ascii="Calibri" w:hAnsi="Calibri"/>
      <w:kern w:val="0"/>
      <w:sz w:val="18"/>
      <w:szCs w:val="18"/>
    </w:rPr>
  </w:style>
  <w:style w:type="character" w:styleId="6">
    <w:name w:val="Hyperlink"/>
    <w:qFormat/>
    <w:uiPriority w:val="99"/>
    <w:rPr>
      <w:rFonts w:cs="Times New Roman"/>
      <w:color w:val="555555"/>
      <w:sz w:val="18"/>
      <w:szCs w:val="18"/>
      <w:u w:val="none"/>
    </w:rPr>
  </w:style>
  <w:style w:type="character" w:customStyle="1" w:styleId="7">
    <w:name w:val="页脚 Char"/>
    <w:link w:val="3"/>
    <w:qFormat/>
    <w:uiPriority w:val="99"/>
    <w:rPr>
      <w:rFonts w:ascii="Calibri" w:hAnsi="Calibri"/>
      <w:sz w:val="18"/>
      <w:szCs w:val="18"/>
    </w:rPr>
  </w:style>
  <w:style w:type="character" w:customStyle="1" w:styleId="8">
    <w:name w:val="页脚 Char1"/>
    <w:basedOn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435</Words>
  <Characters>2486</Characters>
  <Lines>20</Lines>
  <Paragraphs>5</Paragraphs>
  <TotalTime>1</TotalTime>
  <ScaleCrop>false</ScaleCrop>
  <LinksUpToDate>false</LinksUpToDate>
  <CharactersWithSpaces>2916</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2018-03-30T00:38:00Z</dcterms:created>
  <dc:creator>C</dc:creator>
  <cp:lastModifiedBy>东海岸边</cp:lastModifiedBy>
  <dcterms:modified xsi:type="dcterms:W3CDTF">2019-03-05T01:53:09Z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